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72"/>
        <w:gridCol w:w="2617"/>
        <w:gridCol w:w="83"/>
        <w:gridCol w:w="1188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机构名称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重庆市化研院安全技术服务有限责任公司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资质证号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（渝）安职技字（2015）第B—0017号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建设单位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重庆奥力生物制药有限公司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地理位置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重庆市万州区五桥上海工业园区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364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廖飒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90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重庆奥力生物制药有限公司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职业病危害现状评价报告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用人单位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325" w:type="dxa"/>
            <w:gridSpan w:val="6"/>
          </w:tcPr>
          <w:p>
            <w:pPr>
              <w:jc w:val="both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重庆奥力生物制药有限公司成立于2003年11月，注册资本300万元，企业性质为有限责任公司，行业分类为生物药品制造；主要生产片剂、硬胶囊剂、原料药（胰酶、胃蛋白酶、硫酸软骨素钠），年生产胰酶150吨，年生产胃蛋白酶30吨，年生产硫酸软骨素钠50吨。该公司负责人为陈曾，注册地址为重庆市万州区五桥上海工业园区</w:t>
            </w:r>
            <w:r>
              <w:rPr>
                <w:rFonts w:hint="default" w:ascii="仿宋_GB2312" w:hAnsi="Times New Roman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现场调查、采样、检测情况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分工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现场调查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徐文零、龙启科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2020年11月6日、2020年11月30日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采样和检测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胡燕、曾卫、贺婷、苟黎黎、陈龙、李钰杰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2020年11月30日-</w:t>
            </w: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12月02日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用人单位陪同人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廖飒</w:t>
            </w:r>
          </w:p>
        </w:tc>
        <w:tc>
          <w:tcPr>
            <w:tcW w:w="48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2020年11月6日、2020年11月30日-</w:t>
            </w:r>
            <w:r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  <w:t>12月02日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用人单位存在的职业病危害因素及检测结果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9325" w:type="dxa"/>
            <w:gridSpan w:val="6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建设项目中存在的职业病危害因素：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（1）化学因素：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甲烷、硫化氢、电焊烟尘、锰及其化合物、氮氧化物、一氧化碳、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zh-CN" w:eastAsia="zh-CN" w:bidi="ar-SA"/>
              </w:rPr>
              <w:t>二氧化碳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、臭氧、丙酮、盐酸、氯化钙、乙醇、硼酸、氯化钠、硼砂、三氯乙酸、磷酸二氢钾、磷酸二氢钠、氢氧化钠、三羟甲基氨基甲烷、硫酸、乙醚、硝酸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、其他粉尘、电焊烟尘等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。  </w:t>
            </w:r>
          </w:p>
          <w:p>
            <w:pPr>
              <w:pStyle w:val="11"/>
              <w:numPr>
                <w:numId w:val="0"/>
              </w:numPr>
              <w:ind w:leftChars="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（2）物理因素：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噪声、高温、工频电场、紫外辐射</w:t>
            </w:r>
            <w:r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zh-CN" w:eastAsia="zh-CN" w:bidi="ar-SA"/>
              </w:rPr>
              <w:t>（电焊弧光）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2、检测结果：</w:t>
            </w:r>
          </w:p>
          <w:tbl>
            <w:tblPr>
              <w:tblStyle w:val="6"/>
              <w:tblW w:w="868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8"/>
              <w:gridCol w:w="2389"/>
              <w:gridCol w:w="774"/>
              <w:gridCol w:w="653"/>
              <w:gridCol w:w="1163"/>
              <w:gridCol w:w="857"/>
              <w:gridCol w:w="789"/>
              <w:gridCol w:w="14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  <w:tblHeader/>
                <w:jc w:val="center"/>
              </w:trPr>
              <w:tc>
                <w:tcPr>
                  <w:tcW w:w="628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序号</w:t>
                  </w:r>
                </w:p>
              </w:tc>
              <w:tc>
                <w:tcPr>
                  <w:tcW w:w="2389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检测项目</w:t>
                  </w:r>
                </w:p>
              </w:tc>
              <w:tc>
                <w:tcPr>
                  <w:tcW w:w="774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检测点数</w:t>
                  </w:r>
                </w:p>
              </w:tc>
              <w:tc>
                <w:tcPr>
                  <w:tcW w:w="653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合格点数</w:t>
                  </w:r>
                </w:p>
              </w:tc>
              <w:tc>
                <w:tcPr>
                  <w:tcW w:w="1163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检测点合格率（%）</w:t>
                  </w:r>
                </w:p>
              </w:tc>
              <w:tc>
                <w:tcPr>
                  <w:tcW w:w="857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检测岗位数</w:t>
                  </w:r>
                </w:p>
              </w:tc>
              <w:tc>
                <w:tcPr>
                  <w:tcW w:w="789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合格岗位</w:t>
                  </w:r>
                </w:p>
              </w:tc>
              <w:tc>
                <w:tcPr>
                  <w:tcW w:w="1428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检测岗位合格率（%）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7" w:hRule="atLeast"/>
                <w:jc w:val="center"/>
              </w:trPr>
              <w:tc>
                <w:tcPr>
                  <w:tcW w:w="628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2389" w:type="dxa"/>
                  <w:noWrap w:val="0"/>
                  <w:vAlign w:val="center"/>
                </w:tcPr>
                <w:p>
                  <w:pPr>
                    <w:pStyle w:val="13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一氧化碳</w:t>
                  </w:r>
                </w:p>
              </w:tc>
              <w:tc>
                <w:tcPr>
                  <w:tcW w:w="774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65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116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100</w:t>
                  </w:r>
                </w:p>
              </w:tc>
              <w:tc>
                <w:tcPr>
                  <w:tcW w:w="857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789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1428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7" w:hRule="atLeast"/>
                <w:jc w:val="center"/>
              </w:trPr>
              <w:tc>
                <w:tcPr>
                  <w:tcW w:w="628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2</w:t>
                  </w:r>
                </w:p>
              </w:tc>
              <w:tc>
                <w:tcPr>
                  <w:tcW w:w="2389" w:type="dxa"/>
                  <w:noWrap w:val="0"/>
                  <w:vAlign w:val="center"/>
                </w:tcPr>
                <w:p>
                  <w:pPr>
                    <w:pStyle w:val="13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其他粉尘</w:t>
                  </w:r>
                </w:p>
              </w:tc>
              <w:tc>
                <w:tcPr>
                  <w:tcW w:w="774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65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116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100</w:t>
                  </w:r>
                </w:p>
              </w:tc>
              <w:tc>
                <w:tcPr>
                  <w:tcW w:w="857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789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1428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7" w:hRule="atLeast"/>
                <w:jc w:val="center"/>
              </w:trPr>
              <w:tc>
                <w:tcPr>
                  <w:tcW w:w="628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3</w:t>
                  </w:r>
                </w:p>
              </w:tc>
              <w:tc>
                <w:tcPr>
                  <w:tcW w:w="2389" w:type="dxa"/>
                  <w:noWrap w:val="0"/>
                  <w:vAlign w:val="center"/>
                </w:tcPr>
                <w:p>
                  <w:pPr>
                    <w:pStyle w:val="13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噪声</w:t>
                  </w:r>
                </w:p>
              </w:tc>
              <w:tc>
                <w:tcPr>
                  <w:tcW w:w="774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18</w:t>
                  </w:r>
                </w:p>
              </w:tc>
              <w:tc>
                <w:tcPr>
                  <w:tcW w:w="65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18</w:t>
                  </w:r>
                </w:p>
              </w:tc>
              <w:tc>
                <w:tcPr>
                  <w:tcW w:w="116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100</w:t>
                  </w:r>
                </w:p>
              </w:tc>
              <w:tc>
                <w:tcPr>
                  <w:tcW w:w="857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16</w:t>
                  </w:r>
                </w:p>
              </w:tc>
              <w:tc>
                <w:tcPr>
                  <w:tcW w:w="789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16</w:t>
                  </w:r>
                </w:p>
              </w:tc>
              <w:tc>
                <w:tcPr>
                  <w:tcW w:w="1428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7" w:hRule="atLeast"/>
                <w:jc w:val="center"/>
              </w:trPr>
              <w:tc>
                <w:tcPr>
                  <w:tcW w:w="628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4</w:t>
                  </w:r>
                </w:p>
              </w:tc>
              <w:tc>
                <w:tcPr>
                  <w:tcW w:w="2389" w:type="dxa"/>
                  <w:noWrap w:val="0"/>
                  <w:vAlign w:val="center"/>
                </w:tcPr>
                <w:p>
                  <w:pPr>
                    <w:pStyle w:val="13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丙酮</w:t>
                  </w:r>
                </w:p>
              </w:tc>
              <w:tc>
                <w:tcPr>
                  <w:tcW w:w="774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65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2</w:t>
                  </w:r>
                </w:p>
              </w:tc>
              <w:tc>
                <w:tcPr>
                  <w:tcW w:w="116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40</w:t>
                  </w:r>
                </w:p>
              </w:tc>
              <w:tc>
                <w:tcPr>
                  <w:tcW w:w="857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789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28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4</w:t>
                  </w: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7" w:hRule="atLeast"/>
                <w:jc w:val="center"/>
              </w:trPr>
              <w:tc>
                <w:tcPr>
                  <w:tcW w:w="628" w:type="dxa"/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5</w:t>
                  </w:r>
                </w:p>
              </w:tc>
              <w:tc>
                <w:tcPr>
                  <w:tcW w:w="2389" w:type="dxa"/>
                  <w:noWrap w:val="0"/>
                  <w:vAlign w:val="center"/>
                </w:tcPr>
                <w:p>
                  <w:pPr>
                    <w:pStyle w:val="13"/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napToGrid w:val="0"/>
                      <w:color w:val="auto"/>
                      <w:kern w:val="0"/>
                      <w:szCs w:val="21"/>
                      <w:highlight w:val="none"/>
                      <w:lang w:val="en-US" w:eastAsia="zh-CN"/>
                    </w:rPr>
                    <w:t>盐酸及氯化氢</w:t>
                  </w:r>
                </w:p>
              </w:tc>
              <w:tc>
                <w:tcPr>
                  <w:tcW w:w="774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65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1163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100</w:t>
                  </w:r>
                </w:p>
              </w:tc>
              <w:tc>
                <w:tcPr>
                  <w:tcW w:w="857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789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</w:t>
                  </w:r>
                </w:p>
              </w:tc>
              <w:tc>
                <w:tcPr>
                  <w:tcW w:w="1428" w:type="dxa"/>
                  <w:noWrap w:val="0"/>
                  <w:vAlign w:val="top"/>
                </w:tcPr>
                <w:p>
                  <w:pPr>
                    <w:adjustRightInd w:val="0"/>
                    <w:spacing w:line="360" w:lineRule="exact"/>
                    <w:jc w:val="center"/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kern w:val="0"/>
                      <w:szCs w:val="21"/>
                      <w:highlight w:val="none"/>
                    </w:rPr>
                    <w:t>100</w:t>
                  </w:r>
                </w:p>
              </w:tc>
            </w:tr>
          </w:tbl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评价结论与建议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6"/>
          </w:tcPr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604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由《国民经济行业分类》（GB/T 4754-2017）可知，该项目行业分类为“生物药品制品制造”，根据《建设项目职业病危害风险分类管理目录》（国卫办职健发〔2021〕5号），职业病危害风险为一般。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604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但由于用人单位涉及溶剂回收丙酮，属于危险化学品生产企业，且本次现场作业场所丙酮共检测5个岗位，有3个岗位即胃酶分离、沉淀岗，胰酶分离、沉淀岗，胰酶压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榨工</w:t>
            </w:r>
            <w:r>
              <w:rPr>
                <w:rFonts w:hint="default"/>
                <w:lang w:val="zh-CN" w:eastAsia="zh-CN"/>
              </w:rPr>
              <w:t>接触</w:t>
            </w:r>
            <w:r>
              <w:rPr>
                <w:rFonts w:hint="default"/>
                <w:lang w:val="en-US" w:eastAsia="zh-CN"/>
              </w:rPr>
              <w:t>丙酮浓度不符合GBZ2.1要求，丙酮检测合格率为40%。用人单位在胰酶车间、胃酶车间设置排风扇，未能及时有效的将挥发的丙酮及时排除室外等。根据自身情况制定有相应的《急性职业病危害事故应急救援预案》等。未查阅到专项密闭空间作业应急救援预案、现场急救措施等内容。未组织维修焊接工进行紫外辐射（电焊弧光）、氮氧化物、锰及其无机化合物等项目的职业性健康检查等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604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结合其工作场所存在职业病危害因素的浓度（强度）检测、潜在危险性、接触人数、频度、时间、职业病危害防护措施和发生职业病的危（风）险程度等进行综合分析后，确定建设项目职业病危害风险为严重。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firstLine="604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建议：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（1）</w:t>
            </w:r>
            <w:r>
              <w:rPr>
                <w:rFonts w:hint="default"/>
                <w:lang w:val="en-US" w:eastAsia="zh-CN"/>
              </w:rPr>
              <w:t>本次现场检测，用</w:t>
            </w:r>
            <w:r>
              <w:rPr>
                <w:rFonts w:hint="default"/>
                <w:lang w:val="en-US" w:eastAsia="zh-CN"/>
              </w:rPr>
              <w:t>人单位胃酶分离、沉淀岗，胰酶分离、沉淀岗，胰酶压榨工接触丙酮超过职业接触限值的要求，建议用人单位在上述作业岗位增设排风系统，增设排风罩，</w:t>
            </w:r>
            <w:r>
              <w:rPr>
                <w:rFonts w:hint="eastAsia"/>
                <w:lang w:val="en-US" w:eastAsia="zh-CN"/>
              </w:rPr>
              <w:t>可考虑增加送风设施，</w:t>
            </w:r>
            <w:r>
              <w:rPr>
                <w:rFonts w:hint="default"/>
                <w:lang w:val="en-US" w:eastAsia="zh-CN"/>
              </w:rPr>
              <w:t>从而及时有效降低作业场所的丙酮浓度</w:t>
            </w:r>
            <w:r>
              <w:rPr>
                <w:rFonts w:hint="default"/>
                <w:lang w:val="zh-CN" w:eastAsia="zh-CN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（2）</w:t>
            </w:r>
            <w:r>
              <w:rPr>
                <w:rFonts w:hint="default"/>
                <w:lang w:val="en-US" w:eastAsia="zh-CN"/>
              </w:rPr>
              <w:t>用人单位对投入使用的通风除尘</w:t>
            </w:r>
            <w:r>
              <w:rPr>
                <w:rFonts w:hint="default"/>
                <w:lang w:val="en-US" w:eastAsia="zh-CN"/>
              </w:rPr>
              <w:t>设施，应当进行经常性的维护、检修和清理，定期检测其性能和效果（每年至少检测一次）。排风管道和罩口应避免积尘，除尘装置滤袋应及时喷扫清灰，以免影响通风除尘效果。检测结果和维护记录应整理存档</w:t>
            </w:r>
            <w:r>
              <w:rPr>
                <w:rFonts w:hint="default"/>
                <w:lang w:val="en-US" w:eastAsia="zh-CN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zh-CN" w:eastAsia="zh-CN"/>
              </w:rPr>
              <w:t>（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default"/>
                <w:lang w:val="zh-CN" w:eastAsia="zh-CN"/>
              </w:rPr>
              <w:t>）</w:t>
            </w:r>
            <w:r>
              <w:rPr>
                <w:rFonts w:hint="default"/>
                <w:lang w:val="en-US" w:eastAsia="zh-CN"/>
              </w:rPr>
              <w:t>本次照度检测，用人单位胰酶脱水脱脂室、胰酶真空干燥室、胃酶、硫酸软骨素干燥室、胃酶消化室的照度值未达到国家相关标准的要求，建议在上述场所增设局部照明设施</w:t>
            </w:r>
            <w:r>
              <w:rPr>
                <w:rFonts w:hint="default"/>
                <w:lang w:val="zh-CN" w:eastAsia="zh-CN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（4）</w:t>
            </w:r>
            <w:r>
              <w:rPr>
                <w:rFonts w:hint="default"/>
                <w:lang w:val="en-US" w:eastAsia="zh-CN"/>
              </w:rPr>
              <w:t>用人单位应于每年年初或上年末制定职业卫生工作计划和实施方案，提出当年职业健康工作安排和要求</w:t>
            </w:r>
            <w:r>
              <w:rPr>
                <w:rFonts w:hint="eastAsia"/>
                <w:lang w:val="zh-CN" w:eastAsia="zh-CN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default"/>
                <w:lang w:val="zh-CN" w:eastAsia="zh-CN"/>
              </w:rPr>
            </w:pPr>
            <w:r>
              <w:rPr>
                <w:rFonts w:hint="default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）</w:t>
            </w:r>
            <w:r>
              <w:rPr>
                <w:rFonts w:hint="default"/>
                <w:lang w:val="zh-CN" w:eastAsia="zh-CN"/>
              </w:rPr>
              <w:t>建议在产生</w:t>
            </w:r>
            <w:r>
              <w:rPr>
                <w:rFonts w:hint="default"/>
                <w:lang w:val="en-US" w:eastAsia="zh-CN"/>
              </w:rPr>
              <w:t>或存在</w:t>
            </w:r>
            <w:r>
              <w:rPr>
                <w:rFonts w:hint="default"/>
                <w:lang w:val="zh-CN" w:eastAsia="zh-CN"/>
              </w:rPr>
              <w:t>丙酮的岗位设置有毒气体浓度检测仪。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rFonts w:hint="default"/>
                <w:lang w:val="zh-CN" w:eastAsia="zh-CN"/>
              </w:rPr>
              <w:t>对可能存在的急性职业中毒或急性损伤的因素与岗位，建立健全现场处置方案和密闭空间作业的相关制度与补充措施</w:t>
            </w:r>
            <w:r>
              <w:rPr>
                <w:rFonts w:hint="eastAsia"/>
                <w:lang w:val="zh-CN" w:eastAsia="zh-CN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11"/>
                <w:kern w:val="28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zh-CN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rFonts w:hint="default"/>
                <w:lang w:val="zh-CN" w:eastAsia="zh-CN"/>
              </w:rPr>
              <w:t>用人单位应及时委托体检机构对</w:t>
            </w:r>
            <w:r>
              <w:rPr>
                <w:rFonts w:hint="default"/>
                <w:lang w:val="en-US" w:eastAsia="zh-CN"/>
              </w:rPr>
              <w:t>维修焊接工进行</w:t>
            </w:r>
            <w:r>
              <w:rPr>
                <w:rFonts w:hint="default"/>
                <w:lang w:val="zh-CN" w:eastAsia="zh-CN"/>
              </w:rPr>
              <w:t>紫外辐射（电焊弧光）、</w:t>
            </w:r>
            <w:r>
              <w:rPr>
                <w:rFonts w:hint="default"/>
                <w:lang w:val="en-US" w:eastAsia="zh-CN"/>
              </w:rPr>
              <w:t>氮氧化物</w:t>
            </w:r>
            <w:r>
              <w:rPr>
                <w:rFonts w:hint="default"/>
                <w:lang w:val="zh-CN" w:eastAsia="zh-CN"/>
              </w:rPr>
              <w:t>、锰及其无机化合物</w:t>
            </w:r>
            <w:r>
              <w:rPr>
                <w:rFonts w:hint="default"/>
                <w:lang w:val="en-US" w:eastAsia="zh-CN"/>
              </w:rPr>
              <w:t>等项目的职业性健康检查，</w:t>
            </w:r>
            <w:r>
              <w:rPr>
                <w:rFonts w:hint="default"/>
                <w:lang w:val="zh-CN" w:eastAsia="zh-CN"/>
              </w:rPr>
              <w:t>职业健康检查应选择具有《医疗机构执业许可证》且经重庆市卫生健康委员会备案的职业健康检查机构进行</w:t>
            </w:r>
            <w:r>
              <w:rPr>
                <w:rFonts w:hint="eastAsia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技术审查专家评审意见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6"/>
          </w:tcPr>
          <w:p>
            <w:pPr>
              <w:autoSpaceDE w:val="0"/>
              <w:spacing w:line="300" w:lineRule="exact"/>
              <w:ind w:firstLine="480" w:firstLineChars="200"/>
              <w:jc w:val="left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重庆市化研院安全技术服务有限责任公司编制的《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重庆奥力生物制药有限公司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职业病危害现状评价报告》（以下简称《评价报告》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）于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接受了专家评审，专家组提出了评审意见。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1、1.2.1法律、法规与规章章节中第（14）条应为应急部令[2019]2号。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法律法规中增加《中华人民共和国基本医疗卫生与健康促进法》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(2019年12月28日，经十三届全国人大常委会第十五次会议表决通过，于2020年6月1日实施)。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表2-6工作日写实表中缺“工作起止时间”，“接触时间”与写实内容计算出的时间不相吻合，请核实修正。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2.3生产工艺章节应介绍三条生产工艺是否为独立生产线，详细介绍各生产环节人员操作内容及接触到的职业病危害因素，调查描述其机械化、自动化情况。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4.1.2.1作业场所职业病危害因素章节中所述“工频电场”职业病危害因素报告中未描述存在此因素场所，表4-2中也未分析介绍，建议删除报告中的此因素。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在“表4-21用人单位作业场所空气中丙酮检测结果”等表中，补充每日3次的检测结果数值及所代表的时间。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在“7.2防护用品使用管理制度及执行情况调查”中，缺防护用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品使用情况的调查数据。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在“表8-1建筑物一览表”中，补充各建筑物的层高与面积。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5.1 防护设施:根据用人单位设置的防护设施进行具体的描述，避免套话和空话。补充防护设施照片。</w:t>
            </w:r>
          </w:p>
          <w:p>
            <w:pPr>
              <w:spacing w:after="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在“表10-5 用人单位既往职业卫生建议落实情况检查评价表”中，第4项“锅炉问题”的采纳情况为“采纳且消除危害因素”。</w:t>
            </w:r>
          </w:p>
          <w:p>
            <w:pPr>
              <w:spacing w:after="0"/>
              <w:jc w:val="both"/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GB" w:eastAsia="zh-CN"/>
              </w:rPr>
              <w:t>参照各位专家提出的具体修改意见对报告进行修改完善。</w:t>
            </w:r>
          </w:p>
        </w:tc>
      </w:tr>
    </w:tbl>
    <w:p/>
    <w:p/>
    <w:p/>
    <w:sectPr>
      <w:pgSz w:w="11906" w:h="16838"/>
      <w:pgMar w:top="1020" w:right="1800" w:bottom="5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5370D"/>
    <w:multiLevelType w:val="multilevel"/>
    <w:tmpl w:val="1765370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BF7"/>
    <w:rsid w:val="000C7361"/>
    <w:rsid w:val="001C18ED"/>
    <w:rsid w:val="00240495"/>
    <w:rsid w:val="0030510A"/>
    <w:rsid w:val="00324C04"/>
    <w:rsid w:val="004E0050"/>
    <w:rsid w:val="004F00DF"/>
    <w:rsid w:val="006E5E9A"/>
    <w:rsid w:val="00712BF0"/>
    <w:rsid w:val="008C634D"/>
    <w:rsid w:val="00933BD5"/>
    <w:rsid w:val="009A38F1"/>
    <w:rsid w:val="00A03BF7"/>
    <w:rsid w:val="00A32419"/>
    <w:rsid w:val="00C33422"/>
    <w:rsid w:val="00CA2A55"/>
    <w:rsid w:val="00F56D77"/>
    <w:rsid w:val="00F8018F"/>
    <w:rsid w:val="05233F43"/>
    <w:rsid w:val="23423632"/>
    <w:rsid w:val="69D85FEB"/>
    <w:rsid w:val="6C2219B0"/>
    <w:rsid w:val="6DEF2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spacing w:line="484" w:lineRule="exact"/>
      <w:jc w:val="left"/>
      <w:outlineLvl w:val="1"/>
    </w:pPr>
    <w:rPr>
      <w:rFonts w:ascii="Times New Roman" w:hAnsi="Times New Roman" w:eastAsia="仿宋_GB2312" w:cs="Times New Roman"/>
      <w:b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3">
    <w:name w:val="默认段落字体 Para Char Char Char Char"/>
    <w:basedOn w:val="1"/>
    <w:link w:val="14"/>
    <w:qFormat/>
    <w:uiPriority w:val="0"/>
    <w:rPr>
      <w:rFonts w:ascii="Calibri" w:hAnsi="Calibri" w:eastAsia="宋体" w:cs="Times New Roman"/>
      <w:kern w:val="28"/>
      <w:szCs w:val="21"/>
    </w:rPr>
  </w:style>
  <w:style w:type="character" w:customStyle="1" w:styleId="14">
    <w:name w:val="默认段落字体 Para Char Char Char Char Char"/>
    <w:link w:val="13"/>
    <w:qFormat/>
    <w:uiPriority w:val="0"/>
    <w:rPr>
      <w:rFonts w:ascii="Calibri" w:hAnsi="Calibri" w:eastAsia="宋体" w:cs="Times New Roman"/>
      <w:kern w:val="28"/>
      <w:szCs w:val="21"/>
    </w:rPr>
  </w:style>
  <w:style w:type="paragraph" w:customStyle="1" w:styleId="15">
    <w:name w:val="1现评正文"/>
    <w:basedOn w:val="1"/>
    <w:qFormat/>
    <w:uiPriority w:val="0"/>
    <w:pPr>
      <w:widowControl/>
      <w:spacing w:line="484" w:lineRule="exact"/>
      <w:ind w:firstLine="200" w:firstLineChars="200"/>
    </w:pPr>
    <w:rPr>
      <w:rFonts w:eastAsia="仿宋_GB2312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217</Words>
  <Characters>1237</Characters>
  <Lines>10</Lines>
  <Paragraphs>2</Paragraphs>
  <TotalTime>4</TotalTime>
  <ScaleCrop>false</ScaleCrop>
  <LinksUpToDate>false</LinksUpToDate>
  <CharactersWithSpaces>1452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2018-04-24T08:24:00Z</dcterms:created>
  <dc:creator>zxd</dc:creator>
  <cp:lastModifiedBy>卡索嘉隆</cp:lastModifiedBy>
  <dcterms:modified xsi:type="dcterms:W3CDTF">2021-09-17T06:53:41Z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43023C77603B4E1E87FCE4D6DBA2E8EE</vt:lpwstr>
  </property>
</Properties>
</file>