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815"/>
        <w:gridCol w:w="2025"/>
        <w:gridCol w:w="1094"/>
        <w:gridCol w:w="326"/>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机构名称</w:t>
            </w:r>
          </w:p>
        </w:tc>
        <w:tc>
          <w:tcPr>
            <w:tcW w:w="2840" w:type="dxa"/>
            <w:gridSpan w:val="2"/>
            <w:vAlign w:val="center"/>
          </w:tcPr>
          <w:p>
            <w:pPr>
              <w:keepNext w:val="0"/>
              <w:keepLines w:val="0"/>
              <w:suppressLineNumbers w:val="0"/>
              <w:spacing w:before="0" w:beforeAutospacing="0" w:after="0" w:afterAutospacing="0"/>
              <w:ind w:left="0" w:right="0"/>
              <w:jc w:val="both"/>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重庆市化研院安全技术服务有限责任公司</w:t>
            </w:r>
          </w:p>
        </w:tc>
        <w:tc>
          <w:tcPr>
            <w:tcW w:w="142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资质证号</w:t>
            </w:r>
          </w:p>
        </w:tc>
        <w:tc>
          <w:tcPr>
            <w:tcW w:w="2843" w:type="dxa"/>
            <w:vAlign w:val="center"/>
          </w:tcPr>
          <w:p>
            <w:pPr>
              <w:keepNext w:val="0"/>
              <w:keepLines w:val="0"/>
              <w:suppressLineNumbers w:val="0"/>
              <w:spacing w:before="0" w:beforeAutospacing="0" w:after="0" w:afterAutospacing="0"/>
              <w:ind w:left="0" w:right="0"/>
              <w:jc w:val="both"/>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（渝）安职技字（2015）第B—0017号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建设单位</w:t>
            </w:r>
          </w:p>
        </w:tc>
        <w:tc>
          <w:tcPr>
            <w:tcW w:w="7103" w:type="dxa"/>
            <w:gridSpan w:val="5"/>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重庆中冠混凝土工程有限公司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419" w:type="dxa"/>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sz w:val="24"/>
                <w:szCs w:val="24"/>
                <w:lang w:eastAsia="zh-CN"/>
              </w:rPr>
            </w:pPr>
            <w:r>
              <w:rPr>
                <w:rFonts w:hint="eastAsia" w:ascii="仿宋_GB2312" w:hAnsi="Times New Roman" w:eastAsia="仿宋_GB2312"/>
                <w:sz w:val="24"/>
                <w:szCs w:val="24"/>
                <w:lang w:eastAsia="zh-CN"/>
              </w:rPr>
              <w:t>地理位置</w:t>
            </w:r>
          </w:p>
        </w:tc>
        <w:tc>
          <w:tcPr>
            <w:tcW w:w="2840" w:type="dxa"/>
            <w:gridSpan w:val="2"/>
            <w:vAlign w:val="center"/>
          </w:tcPr>
          <w:p>
            <w:pPr>
              <w:keepNext w:val="0"/>
              <w:keepLines w:val="0"/>
              <w:suppressLineNumbers w:val="0"/>
              <w:spacing w:before="0" w:beforeAutospacing="0" w:after="0" w:afterAutospacing="0"/>
              <w:ind w:left="0" w:right="0"/>
              <w:jc w:val="both"/>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重庆市九龙坡区西彭园区J标准分区J39-1/01地块东北侧</w:t>
            </w:r>
          </w:p>
        </w:tc>
        <w:tc>
          <w:tcPr>
            <w:tcW w:w="1420"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联系人</w:t>
            </w:r>
          </w:p>
        </w:tc>
        <w:tc>
          <w:tcPr>
            <w:tcW w:w="284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彭欧阳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7103"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重庆中冠混凝土工程有限公司重庆中冠混凝土公司迁建项目</w:t>
            </w:r>
            <w:r>
              <w:rPr>
                <w:rFonts w:hint="default" w:ascii="Times New Roman" w:hAnsi="Times New Roman" w:eastAsia="仿宋_GB2312" w:cs="Times New Roman"/>
                <w:sz w:val="24"/>
                <w:szCs w:val="24"/>
              </w:rPr>
              <w:t>职业病危害控制效果评价报告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keepNext w:val="0"/>
              <w:keepLines w:val="0"/>
              <w:suppressLineNumbers w:val="0"/>
              <w:spacing w:before="0" w:beforeAutospacing="0" w:after="0" w:afterAutospacing="0"/>
              <w:ind w:left="0" w:right="0"/>
              <w:jc w:val="center"/>
              <w:rPr>
                <w:rFonts w:hint="default"/>
              </w:rPr>
            </w:pPr>
            <w:r>
              <w:rPr>
                <w:rFonts w:hint="eastAsia" w:ascii="仿宋_GB2312" w:hAnsi="Times New Roman" w:eastAsia="仿宋_GB2312"/>
                <w:sz w:val="24"/>
                <w:szCs w:val="24"/>
              </w:rPr>
              <w:t>用人单位</w:t>
            </w:r>
            <w:r>
              <w:rPr>
                <w:rFonts w:hint="eastAsia" w:ascii="Times New Roman" w:hAnsi="Times New Roman" w:eastAsia="仿宋_GB2312" w:cs="Times New Roman"/>
                <w:sz w:val="24"/>
                <w:szCs w:val="24"/>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522" w:type="dxa"/>
            <w:gridSpan w:val="6"/>
          </w:tcPr>
          <w:p>
            <w:pPr>
              <w:keepNext w:val="0"/>
              <w:keepLines w:val="0"/>
              <w:suppressLineNumbers w:val="0"/>
              <w:spacing w:before="0" w:beforeAutospacing="0" w:after="0" w:afterAutospacing="0"/>
              <w:ind w:left="0" w:right="0"/>
              <w:jc w:val="left"/>
              <w:rPr>
                <w:rFonts w:hint="default"/>
              </w:rPr>
            </w:pPr>
            <w:r>
              <w:rPr>
                <w:rFonts w:hint="eastAsia"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重庆中冠混凝土工程有限公司成立于2004年6月29日，注册资本贰仟伍佰万元整，注册地址为重庆市九龙坡区西彭镇森迪大道66号附161号，主要从事商品混凝土生产销售，同时承建房屋开发和建筑施工。为坚央贯彻习主席和军委后勤保障部首长关于全面停偿工作的指示要求，着实推进混凝土搅拌站停偿工作，重庆中冠混凝土工程有限公司投资700万元建设于九龙坡区黄桷坪(78405部队)营区北侧的混凝土搅拌站项目迁建至重庆市九龙坡区西彭园区J标准分区J39-101地块东北侧，并新建搅拌主机楼、办公楼、倒班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现场调查、采样、检测情况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分工</w:t>
            </w:r>
          </w:p>
        </w:tc>
        <w:tc>
          <w:tcPr>
            <w:tcW w:w="3119"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姓名</w:t>
            </w:r>
          </w:p>
        </w:tc>
        <w:tc>
          <w:tcPr>
            <w:tcW w:w="3169"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现场调查</w:t>
            </w:r>
          </w:p>
        </w:tc>
        <w:tc>
          <w:tcPr>
            <w:tcW w:w="3119"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徐文零</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胡娟</w:t>
            </w:r>
          </w:p>
        </w:tc>
        <w:tc>
          <w:tcPr>
            <w:tcW w:w="3169" w:type="dxa"/>
            <w:gridSpan w:val="2"/>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20</w:t>
            </w:r>
            <w:r>
              <w:rPr>
                <w:rFonts w:hint="eastAsia" w:ascii="仿宋_GB2312" w:hAnsi="Times New Roman" w:eastAsia="仿宋_GB2312" w:cs="Times New Roman"/>
                <w:sz w:val="24"/>
                <w:szCs w:val="24"/>
                <w:lang w:val="en-US" w:eastAsia="zh-CN"/>
              </w:rPr>
              <w:t>20</w:t>
            </w:r>
            <w:r>
              <w:rPr>
                <w:rFonts w:hint="eastAsia" w:ascii="仿宋_GB2312" w:hAnsi="Times New Roman" w:eastAsia="仿宋_GB2312" w:cs="Times New Roman"/>
                <w:sz w:val="24"/>
                <w:szCs w:val="24"/>
              </w:rPr>
              <w:t>年</w:t>
            </w:r>
            <w:r>
              <w:rPr>
                <w:rFonts w:hint="eastAsia" w:ascii="仿宋_GB2312" w:hAnsi="Times New Roman" w:eastAsia="仿宋_GB2312" w:cs="Times New Roman"/>
                <w:sz w:val="24"/>
                <w:szCs w:val="24"/>
                <w:lang w:val="en-US" w:eastAsia="zh-CN"/>
              </w:rPr>
              <w:t>12</w:t>
            </w:r>
            <w:r>
              <w:rPr>
                <w:rFonts w:hint="eastAsia" w:ascii="仿宋_GB2312" w:hAnsi="Times New Roman" w:eastAsia="仿宋_GB2312" w:cs="Times New Roman"/>
                <w:sz w:val="24"/>
                <w:szCs w:val="24"/>
              </w:rPr>
              <w:t>月</w:t>
            </w:r>
            <w:r>
              <w:rPr>
                <w:rFonts w:hint="eastAsia" w:ascii="仿宋_GB2312" w:hAnsi="Times New Roman" w:eastAsia="仿宋_GB2312" w:cs="Times New Roman"/>
                <w:sz w:val="24"/>
                <w:szCs w:val="24"/>
                <w:lang w:val="en-US" w:eastAsia="zh-CN"/>
              </w:rPr>
              <w:t>20</w:t>
            </w:r>
            <w:r>
              <w:rPr>
                <w:rFonts w:hint="eastAsia" w:ascii="仿宋_GB2312" w:hAnsi="Times New Roman" w:eastAsia="仿宋_GB2312" w:cs="Times New Roman"/>
                <w:sz w:val="24"/>
                <w:szCs w:val="24"/>
              </w:rPr>
              <w:t>日</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20</w:t>
            </w:r>
            <w:r>
              <w:rPr>
                <w:rFonts w:hint="eastAsia" w:ascii="仿宋_GB2312" w:hAnsi="Times New Roman" w:eastAsia="仿宋_GB2312" w:cs="Times New Roman"/>
                <w:sz w:val="24"/>
                <w:szCs w:val="24"/>
                <w:lang w:val="en-US" w:eastAsia="zh-CN"/>
              </w:rPr>
              <w:t>21</w:t>
            </w:r>
            <w:r>
              <w:rPr>
                <w:rFonts w:hint="eastAsia" w:ascii="仿宋_GB2312" w:hAnsi="Times New Roman" w:eastAsia="仿宋_GB2312" w:cs="Times New Roman"/>
                <w:sz w:val="24"/>
                <w:szCs w:val="24"/>
              </w:rPr>
              <w:t>年</w:t>
            </w:r>
            <w:r>
              <w:rPr>
                <w:rFonts w:hint="eastAsia" w:ascii="仿宋_GB2312" w:hAnsi="Times New Roman" w:eastAsia="仿宋_GB2312" w:cs="Times New Roman"/>
                <w:sz w:val="24"/>
                <w:szCs w:val="24"/>
                <w:lang w:val="en-US" w:eastAsia="zh-CN"/>
              </w:rPr>
              <w:t>3</w:t>
            </w:r>
            <w:r>
              <w:rPr>
                <w:rFonts w:hint="eastAsia" w:ascii="仿宋_GB2312" w:hAnsi="Times New Roman" w:eastAsia="仿宋_GB2312" w:cs="Times New Roman"/>
                <w:sz w:val="24"/>
                <w:szCs w:val="24"/>
              </w:rPr>
              <w:t>月</w:t>
            </w:r>
            <w:r>
              <w:rPr>
                <w:rFonts w:hint="eastAsia" w:ascii="仿宋_GB2312" w:hAnsi="Times New Roman" w:eastAsia="仿宋_GB2312" w:cs="Times New Roman"/>
                <w:sz w:val="24"/>
                <w:szCs w:val="24"/>
                <w:lang w:val="en-US" w:eastAsia="zh-CN"/>
              </w:rPr>
              <w:t>22</w:t>
            </w:r>
            <w:r>
              <w:rPr>
                <w:rFonts w:hint="eastAsia" w:ascii="仿宋_GB2312" w:hAnsi="Times New Roman" w:eastAsia="仿宋_GB2312"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采样和检测</w:t>
            </w:r>
          </w:p>
        </w:tc>
        <w:tc>
          <w:tcPr>
            <w:tcW w:w="3119"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胡燕</w:t>
            </w:r>
            <w:r>
              <w:rPr>
                <w:rFonts w:hint="eastAsia" w:ascii="Times New Roman" w:hAnsi="Times New Roman" w:eastAsia="仿宋_GB2312" w:cs="Times New Roman"/>
                <w:sz w:val="24"/>
                <w:szCs w:val="24"/>
              </w:rPr>
              <w:t>、</w:t>
            </w:r>
            <w:r>
              <w:rPr>
                <w:rFonts w:hint="default" w:ascii="Times New Roman" w:hAnsi="Times New Roman" w:eastAsia="仿宋_GB2312" w:cs="Times New Roman"/>
                <w:sz w:val="24"/>
                <w:szCs w:val="24"/>
              </w:rPr>
              <w:t>曾卫</w:t>
            </w:r>
            <w:r>
              <w:rPr>
                <w:rFonts w:hint="eastAsia"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贺婷、</w:t>
            </w:r>
            <w:r>
              <w:rPr>
                <w:rFonts w:hint="default" w:ascii="Times New Roman" w:hAnsi="Times New Roman" w:eastAsia="仿宋_GB2312" w:cs="Times New Roman"/>
                <w:sz w:val="24"/>
                <w:szCs w:val="24"/>
              </w:rPr>
              <w:t>苟黎黎</w:t>
            </w:r>
          </w:p>
        </w:tc>
        <w:tc>
          <w:tcPr>
            <w:tcW w:w="3169" w:type="dxa"/>
            <w:gridSpan w:val="2"/>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201</w:t>
            </w:r>
            <w:r>
              <w:rPr>
                <w:rFonts w:hint="eastAsia" w:ascii="仿宋_GB2312" w:hAnsi="Times New Roman" w:eastAsia="仿宋_GB2312" w:cs="Times New Roman"/>
                <w:sz w:val="24"/>
                <w:szCs w:val="24"/>
                <w:lang w:val="en-US" w:eastAsia="zh-CN"/>
              </w:rPr>
              <w:t>9</w:t>
            </w:r>
            <w:r>
              <w:rPr>
                <w:rFonts w:hint="eastAsia" w:ascii="仿宋_GB2312" w:hAnsi="Times New Roman" w:eastAsia="仿宋_GB2312" w:cs="Times New Roman"/>
                <w:sz w:val="24"/>
                <w:szCs w:val="24"/>
              </w:rPr>
              <w:t>年</w:t>
            </w:r>
            <w:r>
              <w:rPr>
                <w:rFonts w:hint="eastAsia" w:ascii="仿宋_GB2312" w:hAnsi="Times New Roman" w:eastAsia="仿宋_GB2312" w:cs="Times New Roman"/>
                <w:sz w:val="24"/>
                <w:szCs w:val="24"/>
                <w:lang w:val="en-US" w:eastAsia="zh-CN"/>
              </w:rPr>
              <w:t>3</w:t>
            </w:r>
            <w:r>
              <w:rPr>
                <w:rFonts w:hint="eastAsia" w:ascii="仿宋_GB2312" w:hAnsi="Times New Roman" w:eastAsia="仿宋_GB2312" w:cs="Times New Roman"/>
                <w:sz w:val="24"/>
                <w:szCs w:val="24"/>
              </w:rPr>
              <w:t>月</w:t>
            </w:r>
            <w:r>
              <w:rPr>
                <w:rFonts w:hint="eastAsia" w:ascii="仿宋_GB2312" w:hAnsi="Times New Roman" w:eastAsia="仿宋_GB2312" w:cs="Times New Roman"/>
                <w:sz w:val="24"/>
                <w:szCs w:val="24"/>
                <w:lang w:val="en-US" w:eastAsia="zh-CN"/>
              </w:rPr>
              <w:t>22</w:t>
            </w:r>
            <w:r>
              <w:rPr>
                <w:rFonts w:hint="eastAsia" w:ascii="仿宋_GB2312" w:hAnsi="Times New Roman" w:eastAsia="仿宋_GB2312" w:cs="Times New Roman"/>
                <w:sz w:val="24"/>
                <w:szCs w:val="24"/>
              </w:rPr>
              <w:t>日</w:t>
            </w:r>
            <w:r>
              <w:rPr>
                <w:rFonts w:hint="eastAsia" w:ascii="仿宋_GB2312" w:hAnsi="Times New Roman" w:eastAsia="仿宋_GB2312" w:cs="Times New Roman"/>
                <w:sz w:val="24"/>
                <w:szCs w:val="24"/>
                <w:lang w:val="en-US" w:eastAsia="zh-CN"/>
              </w:rPr>
              <w:t>-24日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用人单位陪同人</w:t>
            </w:r>
          </w:p>
        </w:tc>
        <w:tc>
          <w:tcPr>
            <w:tcW w:w="3119"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lang w:val="en-US"/>
              </w:rPr>
            </w:pPr>
            <w:r>
              <w:rPr>
                <w:rFonts w:hint="eastAsia" w:ascii="Times New Roman" w:hAnsi="Times New Roman" w:eastAsia="仿宋_GB2312" w:cs="Times New Roman"/>
                <w:sz w:val="24"/>
                <w:szCs w:val="24"/>
                <w:lang w:val="en-US" w:eastAsia="zh-CN"/>
              </w:rPr>
              <w:t>彭欧阳</w:t>
            </w:r>
          </w:p>
        </w:tc>
        <w:tc>
          <w:tcPr>
            <w:tcW w:w="3169" w:type="dxa"/>
            <w:gridSpan w:val="2"/>
            <w:vAlign w:val="center"/>
          </w:tcPr>
          <w:p>
            <w:pPr>
              <w:keepNext w:val="0"/>
              <w:keepLines w:val="0"/>
              <w:suppressLineNumbers w:val="0"/>
              <w:spacing w:before="0" w:beforeAutospacing="0" w:after="0" w:afterAutospacing="0"/>
              <w:ind w:left="0" w:right="0"/>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20</w:t>
            </w:r>
            <w:r>
              <w:rPr>
                <w:rFonts w:hint="eastAsia" w:ascii="仿宋_GB2312" w:hAnsi="Times New Roman" w:eastAsia="仿宋_GB2312" w:cs="Times New Roman"/>
                <w:sz w:val="24"/>
                <w:szCs w:val="24"/>
                <w:lang w:val="en-US" w:eastAsia="zh-CN"/>
              </w:rPr>
              <w:t>20</w:t>
            </w:r>
            <w:r>
              <w:rPr>
                <w:rFonts w:hint="eastAsia" w:ascii="仿宋_GB2312" w:hAnsi="Times New Roman" w:eastAsia="仿宋_GB2312" w:cs="Times New Roman"/>
                <w:sz w:val="24"/>
                <w:szCs w:val="24"/>
              </w:rPr>
              <w:t>年</w:t>
            </w:r>
            <w:r>
              <w:rPr>
                <w:rFonts w:hint="eastAsia" w:ascii="仿宋_GB2312" w:hAnsi="Times New Roman" w:eastAsia="仿宋_GB2312" w:cs="Times New Roman"/>
                <w:sz w:val="24"/>
                <w:szCs w:val="24"/>
                <w:lang w:val="en-US" w:eastAsia="zh-CN"/>
              </w:rPr>
              <w:t>12</w:t>
            </w:r>
            <w:r>
              <w:rPr>
                <w:rFonts w:hint="eastAsia" w:ascii="仿宋_GB2312" w:hAnsi="Times New Roman" w:eastAsia="仿宋_GB2312" w:cs="Times New Roman"/>
                <w:sz w:val="24"/>
                <w:szCs w:val="24"/>
              </w:rPr>
              <w:t>月</w:t>
            </w:r>
            <w:r>
              <w:rPr>
                <w:rFonts w:hint="eastAsia" w:ascii="仿宋_GB2312" w:hAnsi="Times New Roman" w:eastAsia="仿宋_GB2312" w:cs="Times New Roman"/>
                <w:sz w:val="24"/>
                <w:szCs w:val="24"/>
                <w:lang w:val="en-US" w:eastAsia="zh-CN"/>
              </w:rPr>
              <w:t>20</w:t>
            </w:r>
            <w:r>
              <w:rPr>
                <w:rFonts w:hint="eastAsia" w:ascii="仿宋_GB2312" w:hAnsi="Times New Roman" w:eastAsia="仿宋_GB2312" w:cs="Times New Roman"/>
                <w:sz w:val="24"/>
                <w:szCs w:val="24"/>
              </w:rPr>
              <w:t>日</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20</w:t>
            </w:r>
            <w:r>
              <w:rPr>
                <w:rFonts w:hint="eastAsia" w:ascii="仿宋_GB2312" w:hAnsi="Times New Roman" w:eastAsia="仿宋_GB2312" w:cs="Times New Roman"/>
                <w:sz w:val="24"/>
                <w:szCs w:val="24"/>
                <w:lang w:val="en-US" w:eastAsia="zh-CN"/>
              </w:rPr>
              <w:t>219</w:t>
            </w:r>
            <w:r>
              <w:rPr>
                <w:rFonts w:hint="eastAsia" w:ascii="仿宋_GB2312" w:hAnsi="Times New Roman" w:eastAsia="仿宋_GB2312" w:cs="Times New Roman"/>
                <w:sz w:val="24"/>
                <w:szCs w:val="24"/>
              </w:rPr>
              <w:t>年</w:t>
            </w:r>
            <w:r>
              <w:rPr>
                <w:rFonts w:hint="eastAsia" w:ascii="仿宋_GB2312" w:hAnsi="Times New Roman" w:eastAsia="仿宋_GB2312" w:cs="Times New Roman"/>
                <w:sz w:val="24"/>
                <w:szCs w:val="24"/>
                <w:lang w:val="en-US" w:eastAsia="zh-CN"/>
              </w:rPr>
              <w:t>3</w:t>
            </w:r>
            <w:r>
              <w:rPr>
                <w:rFonts w:hint="eastAsia" w:ascii="仿宋_GB2312" w:hAnsi="Times New Roman" w:eastAsia="仿宋_GB2312" w:cs="Times New Roman"/>
                <w:sz w:val="24"/>
                <w:szCs w:val="24"/>
              </w:rPr>
              <w:t>月</w:t>
            </w:r>
            <w:r>
              <w:rPr>
                <w:rFonts w:hint="eastAsia" w:ascii="仿宋_GB2312" w:hAnsi="Times New Roman" w:eastAsia="仿宋_GB2312" w:cs="Times New Roman"/>
                <w:sz w:val="24"/>
                <w:szCs w:val="24"/>
                <w:lang w:val="en-US" w:eastAsia="zh-CN"/>
              </w:rPr>
              <w:t>22</w:t>
            </w:r>
            <w:r>
              <w:rPr>
                <w:rFonts w:hint="eastAsia" w:ascii="仿宋_GB2312" w:hAnsi="Times New Roman" w:eastAsia="仿宋_GB2312" w:cs="Times New Roman"/>
                <w:sz w:val="24"/>
                <w:szCs w:val="24"/>
              </w:rPr>
              <w:t>日</w:t>
            </w:r>
            <w:r>
              <w:rPr>
                <w:rFonts w:hint="eastAsia" w:ascii="仿宋_GB2312" w:hAnsi="Times New Roman" w:eastAsia="仿宋_GB2312" w:cs="Times New Roman"/>
                <w:sz w:val="24"/>
                <w:szCs w:val="24"/>
                <w:lang w:val="en-US" w:eastAsia="zh-CN"/>
              </w:rPr>
              <w:t>-24日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建设项目</w:t>
            </w:r>
            <w:r>
              <w:rPr>
                <w:rFonts w:hint="eastAsia" w:ascii="Times New Roman" w:hAnsi="Times New Roman" w:eastAsia="仿宋_GB2312" w:cs="Times New Roman"/>
                <w:sz w:val="24"/>
                <w:szCs w:val="24"/>
              </w:rPr>
              <w:t>存在的职业病危害因素及检测结果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522" w:type="dxa"/>
            <w:gridSpan w:val="6"/>
          </w:tcPr>
          <w:p>
            <w:pPr>
              <w:pStyle w:val="12"/>
              <w:keepNext w:val="0"/>
              <w:keepLines w:val="0"/>
              <w:numPr>
                <w:ilvl w:val="0"/>
                <w:numId w:val="1"/>
              </w:numPr>
              <w:suppressLineNumbers w:val="0"/>
              <w:spacing w:before="0" w:beforeAutospacing="0" w:after="0" w:afterAutospacing="0"/>
              <w:ind w:right="0" w:firstLineChars="0"/>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建设项目中存在</w:t>
            </w:r>
            <w:r>
              <w:rPr>
                <w:rFonts w:hint="eastAsia" w:ascii="Times New Roman" w:hAnsi="Times New Roman" w:eastAsia="仿宋_GB2312" w:cs="Times New Roman"/>
                <w:sz w:val="24"/>
                <w:szCs w:val="24"/>
              </w:rPr>
              <w:t>的职业病危害因素：</w:t>
            </w:r>
          </w:p>
          <w:p>
            <w:pPr>
              <w:pStyle w:val="12"/>
              <w:keepNext w:val="0"/>
              <w:keepLines w:val="0"/>
              <w:numPr>
                <w:ilvl w:val="0"/>
                <w:numId w:val="0"/>
              </w:numPr>
              <w:suppressLineNumbers w:val="0"/>
              <w:spacing w:before="0" w:beforeAutospacing="0" w:after="0" w:afterAutospacing="0"/>
              <w:ind w:leftChars="0" w:right="0" w:rightChars="0"/>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lang w:val="en-US" w:eastAsia="zh-CN"/>
              </w:rPr>
              <w:t>化学因素有：矽尘、柴油、一氧化碳、二氧化碳、二氧化硫、氮氧化物、电焊烟尘、电焊弧光、锰及其化合物、臭氧。</w:t>
            </w:r>
          </w:p>
          <w:p>
            <w:pPr>
              <w:pStyle w:val="12"/>
              <w:keepNext w:val="0"/>
              <w:keepLines w:val="0"/>
              <w:numPr>
                <w:ilvl w:val="0"/>
                <w:numId w:val="0"/>
              </w:numPr>
              <w:suppressLineNumbers w:val="0"/>
              <w:spacing w:before="0" w:beforeAutospacing="0" w:after="0" w:afterAutospacing="0"/>
              <w:ind w:leftChars="0" w:right="0" w:rightChars="0"/>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lang w:val="en-US" w:eastAsia="zh-CN"/>
              </w:rPr>
              <w:t>物理因素有：噪声、夏季高温、工频电场、电焊弧光。</w:t>
            </w:r>
          </w:p>
          <w:p>
            <w:pPr>
              <w:pStyle w:val="12"/>
              <w:keepNext w:val="0"/>
              <w:keepLines w:val="0"/>
              <w:numPr>
                <w:ilvl w:val="0"/>
                <w:numId w:val="0"/>
              </w:numPr>
              <w:suppressLineNumbers w:val="0"/>
              <w:spacing w:before="0" w:beforeAutospacing="0" w:after="0" w:afterAutospacing="0"/>
              <w:ind w:leftChars="0" w:right="0" w:rightChars="0"/>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（3）密闭（有限）空间作业。</w:t>
            </w:r>
          </w:p>
          <w:p>
            <w:pPr>
              <w:keepNext w:val="0"/>
              <w:keepLines w:val="0"/>
              <w:suppressLineNumbers w:val="0"/>
              <w:spacing w:before="0" w:beforeAutospacing="0" w:after="0" w:afterAutospacing="0"/>
              <w:ind w:left="0" w:right="0"/>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2、检测结果：</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1071"/>
              <w:gridCol w:w="1071"/>
              <w:gridCol w:w="1149"/>
              <w:gridCol w:w="1128"/>
              <w:gridCol w:w="858"/>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blHeader/>
                <w:jc w:val="center"/>
              </w:trPr>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检测项目</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color w:val="auto"/>
                      <w:kern w:val="0"/>
                      <w:szCs w:val="21"/>
                      <w:highlight w:val="none"/>
                      <w:lang w:eastAsia="zh-CN"/>
                    </w:rPr>
                  </w:pPr>
                  <w:r>
                    <w:rPr>
                      <w:rFonts w:hint="default" w:ascii="Times New Roman" w:hAnsi="Times New Roman" w:eastAsia="仿宋_GB2312" w:cs="Times New Roman"/>
                      <w:color w:val="auto"/>
                      <w:kern w:val="0"/>
                      <w:szCs w:val="21"/>
                      <w:highlight w:val="none"/>
                    </w:rPr>
                    <w:t>检测点数</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0"/>
                      <w:szCs w:val="21"/>
                      <w:highlight w:val="none"/>
                      <w:lang w:val="en-US" w:eastAsia="zh-CN"/>
                    </w:rPr>
                    <w:t>个</w:t>
                  </w:r>
                  <w:r>
                    <w:rPr>
                      <w:rFonts w:hint="default" w:ascii="Times New Roman" w:hAnsi="Times New Roman" w:eastAsia="仿宋_GB2312" w:cs="Times New Roman"/>
                      <w:color w:val="auto"/>
                      <w:kern w:val="0"/>
                      <w:szCs w:val="21"/>
                      <w:highlight w:val="none"/>
                      <w:lang w:eastAsia="zh-CN"/>
                    </w:rPr>
                    <w:t>）</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合格点数</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0"/>
                      <w:szCs w:val="21"/>
                      <w:highlight w:val="none"/>
                      <w:lang w:val="en-US" w:eastAsia="zh-CN"/>
                    </w:rPr>
                    <w:t>个</w:t>
                  </w:r>
                  <w:r>
                    <w:rPr>
                      <w:rFonts w:hint="default" w:ascii="Times New Roman" w:hAnsi="Times New Roman" w:eastAsia="仿宋_GB2312" w:cs="Times New Roman"/>
                      <w:color w:val="auto"/>
                      <w:kern w:val="0"/>
                      <w:szCs w:val="21"/>
                      <w:highlight w:val="none"/>
                      <w:lang w:eastAsia="zh-CN"/>
                    </w:rPr>
                    <w:t>）</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检测点合格率（%）</w:t>
                  </w:r>
                </w:p>
              </w:tc>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检测岗位数</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0"/>
                      <w:szCs w:val="21"/>
                      <w:highlight w:val="none"/>
                      <w:lang w:val="en-US" w:eastAsia="zh-CN"/>
                    </w:rPr>
                    <w:t>个</w:t>
                  </w:r>
                  <w:r>
                    <w:rPr>
                      <w:rFonts w:hint="default" w:ascii="Times New Roman" w:hAnsi="Times New Roman" w:eastAsia="仿宋_GB2312" w:cs="Times New Roman"/>
                      <w:color w:val="auto"/>
                      <w:kern w:val="0"/>
                      <w:szCs w:val="21"/>
                      <w:highlight w:val="none"/>
                      <w:lang w:eastAsia="zh-CN"/>
                    </w:rPr>
                    <w:t>）</w:t>
                  </w:r>
                </w:p>
              </w:tc>
              <w:tc>
                <w:tcPr>
                  <w:tcW w:w="85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合格岗位</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0"/>
                      <w:szCs w:val="21"/>
                      <w:highlight w:val="none"/>
                      <w:lang w:val="en-US" w:eastAsia="zh-CN"/>
                    </w:rPr>
                    <w:t>个</w:t>
                  </w:r>
                  <w:r>
                    <w:rPr>
                      <w:rFonts w:hint="default" w:ascii="Times New Roman" w:hAnsi="Times New Roman" w:eastAsia="仿宋_GB2312" w:cs="Times New Roman"/>
                      <w:color w:val="auto"/>
                      <w:kern w:val="0"/>
                      <w:szCs w:val="21"/>
                      <w:highlight w:val="none"/>
                      <w:lang w:eastAsia="zh-CN"/>
                    </w:rPr>
                    <w:t>）</w:t>
                  </w:r>
                </w:p>
              </w:tc>
              <w:tc>
                <w:tcPr>
                  <w:tcW w:w="14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检测岗位合格率（%）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99" w:type="dxa"/>
                  <w:noWrap w:val="0"/>
                  <w:vAlign w:val="center"/>
                </w:tcPr>
                <w:p>
                  <w:pPr>
                    <w:pStyle w:val="14"/>
                    <w:adjustRightInd w:val="0"/>
                    <w:snapToGrid w:val="0"/>
                    <w:spacing w:line="360" w:lineRule="exact"/>
                    <w:jc w:val="center"/>
                    <w:rPr>
                      <w:rFonts w:hint="default" w:ascii="Times New Roman" w:hAnsi="Times New Roman" w:eastAsia="仿宋_GB2312" w:cs="Times New Roman"/>
                      <w:color w:val="auto"/>
                      <w:szCs w:val="21"/>
                      <w:highlight w:val="none"/>
                      <w:lang w:eastAsia="zh-CN"/>
                    </w:rPr>
                  </w:pPr>
                  <w:r>
                    <w:rPr>
                      <w:rStyle w:val="9"/>
                      <w:rFonts w:hint="default" w:ascii="Times New Roman" w:hAnsi="Times New Roman" w:eastAsia="仿宋_GB2312" w:cs="Times New Roman"/>
                      <w:b w:val="0"/>
                      <w:color w:val="auto"/>
                      <w:kern w:val="2"/>
                      <w:szCs w:val="21"/>
                      <w:highlight w:val="none"/>
                      <w:lang w:val="en-US" w:eastAsia="zh-CN"/>
                    </w:rPr>
                    <w:t>噪声</w:t>
                  </w:r>
                </w:p>
              </w:tc>
              <w:tc>
                <w:tcPr>
                  <w:tcW w:w="1071" w:type="dxa"/>
                  <w:noWrap w:val="0"/>
                  <w:vAlign w:val="center"/>
                </w:tcPr>
                <w:p>
                  <w:pPr>
                    <w:spacing w:line="360" w:lineRule="exact"/>
                    <w:jc w:val="center"/>
                    <w:rPr>
                      <w:rFonts w:hint="default" w:ascii="Times New Roman" w:hAnsi="Times New Roman" w:eastAsia="仿宋_GB2312" w:cs="Times New Roman"/>
                      <w:color w:val="auto"/>
                      <w:kern w:val="0"/>
                      <w:szCs w:val="21"/>
                      <w:highlight w:val="none"/>
                      <w:lang w:eastAsia="zh-CN"/>
                    </w:rPr>
                  </w:pPr>
                  <w:r>
                    <w:rPr>
                      <w:rFonts w:hint="default" w:ascii="Times New Roman" w:hAnsi="Times New Roman" w:eastAsia="仿宋_GB2312" w:cs="Times New Roman"/>
                      <w:color w:val="auto"/>
                      <w:kern w:val="0"/>
                      <w:szCs w:val="21"/>
                      <w:highlight w:val="none"/>
                      <w:lang w:val="en-US" w:eastAsia="zh-CN"/>
                    </w:rPr>
                    <w:t>5</w:t>
                  </w:r>
                </w:p>
              </w:tc>
              <w:tc>
                <w:tcPr>
                  <w:tcW w:w="1071" w:type="dxa"/>
                  <w:noWrap w:val="0"/>
                  <w:vAlign w:val="center"/>
                </w:tcPr>
                <w:p>
                  <w:pPr>
                    <w:spacing w:line="360" w:lineRule="exact"/>
                    <w:jc w:val="center"/>
                    <w:rPr>
                      <w:rFonts w:hint="default" w:ascii="Times New Roman" w:hAnsi="Times New Roman" w:eastAsia="仿宋_GB2312" w:cs="Times New Roman"/>
                      <w:color w:val="auto"/>
                      <w:kern w:val="0"/>
                      <w:szCs w:val="21"/>
                      <w:highlight w:val="none"/>
                      <w:lang w:eastAsia="zh-CN"/>
                    </w:rPr>
                  </w:pPr>
                  <w:r>
                    <w:rPr>
                      <w:rFonts w:hint="default" w:ascii="Times New Roman" w:hAnsi="Times New Roman" w:eastAsia="仿宋_GB2312" w:cs="Times New Roman"/>
                      <w:color w:val="auto"/>
                      <w:kern w:val="0"/>
                      <w:szCs w:val="21"/>
                      <w:highlight w:val="none"/>
                      <w:lang w:val="en-US" w:eastAsia="zh-CN"/>
                    </w:rPr>
                    <w:t>5</w:t>
                  </w:r>
                </w:p>
              </w:tc>
              <w:tc>
                <w:tcPr>
                  <w:tcW w:w="1149" w:type="dxa"/>
                  <w:noWrap w:val="0"/>
                  <w:vAlign w:val="center"/>
                </w:tcPr>
                <w:p>
                  <w:pPr>
                    <w:spacing w:line="360" w:lineRule="exact"/>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100</w:t>
                  </w:r>
                </w:p>
              </w:tc>
              <w:tc>
                <w:tcPr>
                  <w:tcW w:w="1128" w:type="dxa"/>
                  <w:noWrap w:val="0"/>
                  <w:vAlign w:val="center"/>
                </w:tcPr>
                <w:p>
                  <w:pPr>
                    <w:spacing w:line="360" w:lineRule="exact"/>
                    <w:jc w:val="center"/>
                    <w:rPr>
                      <w:rFonts w:hint="default" w:ascii="Times New Roman" w:hAnsi="Times New Roman" w:eastAsia="仿宋_GB2312" w:cs="Times New Roman"/>
                      <w:color w:val="auto"/>
                      <w:kern w:val="0"/>
                      <w:szCs w:val="21"/>
                      <w:highlight w:val="none"/>
                      <w:lang w:eastAsia="zh-CN"/>
                    </w:rPr>
                  </w:pPr>
                  <w:r>
                    <w:rPr>
                      <w:rFonts w:hint="default" w:ascii="Times New Roman" w:hAnsi="Times New Roman" w:eastAsia="仿宋_GB2312" w:cs="Times New Roman"/>
                      <w:color w:val="auto"/>
                      <w:kern w:val="0"/>
                      <w:szCs w:val="21"/>
                      <w:highlight w:val="none"/>
                      <w:lang w:val="en-US" w:eastAsia="zh-CN"/>
                    </w:rPr>
                    <w:t>5</w:t>
                  </w:r>
                </w:p>
              </w:tc>
              <w:tc>
                <w:tcPr>
                  <w:tcW w:w="858" w:type="dxa"/>
                  <w:noWrap w:val="0"/>
                  <w:vAlign w:val="center"/>
                </w:tcPr>
                <w:p>
                  <w:pPr>
                    <w:spacing w:line="360" w:lineRule="exact"/>
                    <w:jc w:val="center"/>
                    <w:rPr>
                      <w:rFonts w:hint="default" w:ascii="Times New Roman" w:hAnsi="Times New Roman" w:eastAsia="仿宋_GB2312" w:cs="Times New Roman"/>
                      <w:color w:val="auto"/>
                      <w:kern w:val="0"/>
                      <w:szCs w:val="21"/>
                      <w:highlight w:val="none"/>
                      <w:lang w:eastAsia="zh-CN"/>
                    </w:rPr>
                  </w:pPr>
                  <w:r>
                    <w:rPr>
                      <w:rFonts w:hint="default" w:ascii="Times New Roman" w:hAnsi="Times New Roman" w:eastAsia="仿宋_GB2312" w:cs="Times New Roman"/>
                      <w:color w:val="auto"/>
                      <w:kern w:val="0"/>
                      <w:szCs w:val="21"/>
                      <w:highlight w:val="none"/>
                      <w:lang w:val="en-US" w:eastAsia="zh-CN"/>
                    </w:rPr>
                    <w:t>5</w:t>
                  </w:r>
                </w:p>
              </w:tc>
              <w:tc>
                <w:tcPr>
                  <w:tcW w:w="1420" w:type="dxa"/>
                  <w:noWrap w:val="0"/>
                  <w:vAlign w:val="center"/>
                </w:tcPr>
                <w:p>
                  <w:pPr>
                    <w:spacing w:line="360" w:lineRule="exact"/>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99" w:type="dxa"/>
                  <w:noWrap w:val="0"/>
                  <w:vAlign w:val="center"/>
                </w:tcPr>
                <w:p>
                  <w:pPr>
                    <w:pStyle w:val="14"/>
                    <w:adjustRightInd w:val="0"/>
                    <w:snapToGrid w:val="0"/>
                    <w:spacing w:line="360" w:lineRule="exact"/>
                    <w:jc w:val="center"/>
                    <w:rPr>
                      <w:rFonts w:hint="default" w:ascii="Times New Roman" w:hAnsi="Times New Roman" w:eastAsia="仿宋_GB2312" w:cs="Times New Roman"/>
                      <w:color w:val="auto"/>
                      <w:szCs w:val="21"/>
                      <w:highlight w:val="none"/>
                      <w:lang w:eastAsia="zh-CN"/>
                    </w:rPr>
                  </w:pPr>
                  <w:r>
                    <w:rPr>
                      <w:rStyle w:val="9"/>
                      <w:rFonts w:hint="default" w:ascii="Times New Roman" w:hAnsi="Times New Roman" w:eastAsia="仿宋_GB2312" w:cs="Times New Roman"/>
                      <w:b w:val="0"/>
                      <w:color w:val="auto"/>
                      <w:kern w:val="2"/>
                      <w:szCs w:val="21"/>
                      <w:highlight w:val="none"/>
                      <w:lang w:val="en-US" w:eastAsia="zh-CN"/>
                    </w:rPr>
                    <w:t>矽尘</w:t>
                  </w:r>
                </w:p>
              </w:tc>
              <w:tc>
                <w:tcPr>
                  <w:tcW w:w="1071" w:type="dxa"/>
                  <w:noWrap w:val="0"/>
                  <w:vAlign w:val="center"/>
                </w:tcPr>
                <w:p>
                  <w:pPr>
                    <w:spacing w:line="360" w:lineRule="exact"/>
                    <w:jc w:val="center"/>
                    <w:rPr>
                      <w:rFonts w:hint="default" w:ascii="Times New Roman" w:hAnsi="Times New Roman" w:eastAsia="仿宋_GB2312" w:cs="Times New Roman"/>
                      <w:color w:val="auto"/>
                      <w:kern w:val="0"/>
                      <w:szCs w:val="21"/>
                      <w:highlight w:val="none"/>
                      <w:lang w:eastAsia="zh-CN"/>
                    </w:rPr>
                  </w:pPr>
                  <w:r>
                    <w:rPr>
                      <w:rFonts w:hint="default" w:ascii="Times New Roman" w:hAnsi="Times New Roman" w:eastAsia="仿宋_GB2312" w:cs="Times New Roman"/>
                      <w:color w:val="auto"/>
                      <w:kern w:val="0"/>
                      <w:szCs w:val="21"/>
                      <w:highlight w:val="none"/>
                      <w:lang w:val="en-US" w:eastAsia="zh-CN"/>
                    </w:rPr>
                    <w:t>4</w:t>
                  </w:r>
                </w:p>
              </w:tc>
              <w:tc>
                <w:tcPr>
                  <w:tcW w:w="1071" w:type="dxa"/>
                  <w:noWrap w:val="0"/>
                  <w:vAlign w:val="center"/>
                </w:tcPr>
                <w:p>
                  <w:pPr>
                    <w:spacing w:line="360" w:lineRule="exact"/>
                    <w:jc w:val="center"/>
                    <w:rPr>
                      <w:rFonts w:hint="default" w:ascii="Times New Roman" w:hAnsi="Times New Roman" w:eastAsia="仿宋_GB2312" w:cs="Times New Roman"/>
                      <w:color w:val="auto"/>
                      <w:kern w:val="0"/>
                      <w:szCs w:val="21"/>
                      <w:highlight w:val="none"/>
                      <w:lang w:eastAsia="zh-CN"/>
                    </w:rPr>
                  </w:pPr>
                  <w:r>
                    <w:rPr>
                      <w:rFonts w:hint="default" w:ascii="Times New Roman" w:hAnsi="Times New Roman" w:eastAsia="仿宋_GB2312" w:cs="Times New Roman"/>
                      <w:color w:val="auto"/>
                      <w:kern w:val="0"/>
                      <w:szCs w:val="21"/>
                      <w:highlight w:val="none"/>
                      <w:lang w:val="en-US" w:eastAsia="zh-CN"/>
                    </w:rPr>
                    <w:t>4</w:t>
                  </w:r>
                </w:p>
              </w:tc>
              <w:tc>
                <w:tcPr>
                  <w:tcW w:w="1149" w:type="dxa"/>
                  <w:noWrap w:val="0"/>
                  <w:vAlign w:val="center"/>
                </w:tcPr>
                <w:p>
                  <w:pPr>
                    <w:spacing w:line="360" w:lineRule="exact"/>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100</w:t>
                  </w:r>
                </w:p>
              </w:tc>
              <w:tc>
                <w:tcPr>
                  <w:tcW w:w="1128" w:type="dxa"/>
                  <w:noWrap w:val="0"/>
                  <w:vAlign w:val="center"/>
                </w:tcPr>
                <w:p>
                  <w:pPr>
                    <w:spacing w:line="360" w:lineRule="exact"/>
                    <w:jc w:val="center"/>
                    <w:rPr>
                      <w:rFonts w:hint="default" w:ascii="Times New Roman" w:hAnsi="Times New Roman" w:eastAsia="仿宋_GB2312" w:cs="Times New Roman"/>
                      <w:color w:val="auto"/>
                      <w:kern w:val="0"/>
                      <w:szCs w:val="21"/>
                      <w:highlight w:val="none"/>
                      <w:lang w:eastAsia="zh-CN"/>
                    </w:rPr>
                  </w:pPr>
                  <w:r>
                    <w:rPr>
                      <w:rFonts w:hint="default" w:ascii="Times New Roman" w:hAnsi="Times New Roman" w:eastAsia="仿宋_GB2312" w:cs="Times New Roman"/>
                      <w:color w:val="auto"/>
                      <w:kern w:val="0"/>
                      <w:szCs w:val="21"/>
                      <w:highlight w:val="none"/>
                      <w:lang w:val="en-US" w:eastAsia="zh-CN"/>
                    </w:rPr>
                    <w:t>4</w:t>
                  </w:r>
                </w:p>
              </w:tc>
              <w:tc>
                <w:tcPr>
                  <w:tcW w:w="858" w:type="dxa"/>
                  <w:noWrap w:val="0"/>
                  <w:vAlign w:val="center"/>
                </w:tcPr>
                <w:p>
                  <w:pPr>
                    <w:spacing w:line="360" w:lineRule="exact"/>
                    <w:jc w:val="center"/>
                    <w:rPr>
                      <w:rFonts w:hint="default" w:ascii="Times New Roman" w:hAnsi="Times New Roman" w:eastAsia="仿宋_GB2312" w:cs="Times New Roman"/>
                      <w:color w:val="auto"/>
                      <w:kern w:val="0"/>
                      <w:szCs w:val="21"/>
                      <w:highlight w:val="none"/>
                      <w:lang w:eastAsia="zh-CN"/>
                    </w:rPr>
                  </w:pPr>
                  <w:r>
                    <w:rPr>
                      <w:rFonts w:hint="default" w:ascii="Times New Roman" w:hAnsi="Times New Roman" w:eastAsia="仿宋_GB2312" w:cs="Times New Roman"/>
                      <w:color w:val="auto"/>
                      <w:kern w:val="0"/>
                      <w:szCs w:val="21"/>
                      <w:highlight w:val="none"/>
                      <w:lang w:val="en-US" w:eastAsia="zh-CN"/>
                    </w:rPr>
                    <w:t>4</w:t>
                  </w:r>
                </w:p>
              </w:tc>
              <w:tc>
                <w:tcPr>
                  <w:tcW w:w="1420" w:type="dxa"/>
                  <w:noWrap w:val="0"/>
                  <w:vAlign w:val="center"/>
                </w:tcPr>
                <w:p>
                  <w:pPr>
                    <w:spacing w:line="360" w:lineRule="exact"/>
                    <w:jc w:val="center"/>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100</w:t>
                  </w:r>
                </w:p>
              </w:tc>
            </w:tr>
          </w:tbl>
          <w:p>
            <w:pPr>
              <w:keepNext w:val="0"/>
              <w:keepLines w:val="0"/>
              <w:suppressLineNumbers w:val="0"/>
              <w:spacing w:before="0" w:beforeAutospacing="0" w:after="0" w:afterAutospacing="0"/>
              <w:ind w:left="0" w:right="0"/>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评价结论与建议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522" w:type="dxa"/>
            <w:gridSpan w:val="6"/>
          </w:tcPr>
          <w:p>
            <w:pPr>
              <w:pStyle w:val="18"/>
              <w:keepNext w:val="0"/>
              <w:keepLines w:val="0"/>
              <w:pageBreakBefore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评价结论：</w:t>
            </w:r>
          </w:p>
          <w:p>
            <w:pPr>
              <w:pStyle w:val="18"/>
              <w:keepNext w:val="0"/>
              <w:keepLines w:val="0"/>
              <w:pageBreakBefore w:val="0"/>
              <w:kinsoku/>
              <w:wordWrap/>
              <w:overflowPunct/>
              <w:topLinePunct w:val="0"/>
              <w:autoSpaceDE/>
              <w:autoSpaceDN/>
              <w:bidi w:val="0"/>
              <w:adjustRightInd/>
              <w:snapToGrid/>
              <w:spacing w:line="320" w:lineRule="exact"/>
              <w:ind w:firstLine="560"/>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由《国民经济行业分类》（GB/T 4754-2017）可知，该项目行业分类为“石膏、水泥制品及类似制品制造”，根据《建设项目职业病防护设施“三同时”监督管理办法》（原国家安监总局令第90号）、《建设项目职业病危害风险分类管理目录》（国卫办职健发[2021]5号），职业病危害风险为严重。</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结合其工作场所存在职业病危害因素的浓度（强度）检测、潜在危险性、接触人数、频度、时间、职业病危害防护措施和发生职业病的危（风）险程度等进行综合分析后，确定建设项目职业病危害风险为严重</w:t>
            </w:r>
            <w:r>
              <w:rPr>
                <w:rFonts w:hint="eastAsia" w:ascii="Times New Roman" w:hAnsi="Times New Roman" w:eastAsia="仿宋_GB2312" w:cs="Times New Roman"/>
                <w:kern w:val="2"/>
                <w:sz w:val="24"/>
                <w:szCs w:val="24"/>
                <w:lang w:val="en-US" w:eastAsia="zh-CN" w:bidi="ar-SA"/>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建议：</w:t>
            </w:r>
          </w:p>
          <w:p>
            <w:pPr>
              <w:pStyle w:val="2"/>
              <w:numPr>
                <w:ilvl w:val="0"/>
                <w:numId w:val="2"/>
              </w:numPr>
              <w:rPr>
                <w:rFonts w:hint="eastAsia"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每年根据实际职业卫生管理情况完善重庆中冠混凝土工</w:t>
            </w:r>
            <w:r>
              <w:rPr>
                <w:rFonts w:hint="default" w:ascii="Times New Roman" w:hAnsi="Times New Roman" w:eastAsia="仿宋_GB2312" w:cs="Times New Roman"/>
                <w:kern w:val="2"/>
                <w:sz w:val="24"/>
                <w:szCs w:val="24"/>
                <w:lang w:val="en-US" w:eastAsia="zh-CN" w:bidi="ar-SA"/>
              </w:rPr>
              <w:t>程有限公司的职业卫生档案，以保证档案资料的完整性和连续性</w:t>
            </w:r>
            <w:r>
              <w:rPr>
                <w:rFonts w:hint="eastAsia" w:ascii="Times New Roman" w:hAnsi="Times New Roman" w:eastAsia="仿宋_GB2312" w:cs="Times New Roman"/>
                <w:kern w:val="2"/>
                <w:sz w:val="24"/>
                <w:szCs w:val="24"/>
                <w:lang w:val="en-US" w:eastAsia="zh-CN" w:bidi="ar-SA"/>
              </w:rPr>
              <w:t>。</w:t>
            </w:r>
          </w:p>
          <w:p>
            <w:pPr>
              <w:pStyle w:val="2"/>
              <w:numPr>
                <w:ilvl w:val="0"/>
                <w:numId w:val="2"/>
              </w:numPr>
              <w:rPr>
                <w:rFonts w:hint="eastAsia"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zh-CN" w:eastAsia="zh-CN" w:bidi="ar-SA"/>
              </w:rPr>
              <w:t>应当委托具有相应资质的技术服务机构，每年至少进行一次职业病危害因素检测；并每三年进行一次现状评价</w:t>
            </w:r>
            <w:r>
              <w:rPr>
                <w:rFonts w:hint="eastAsia" w:ascii="Times New Roman" w:hAnsi="Times New Roman" w:eastAsia="仿宋_GB2312" w:cs="Times New Roman"/>
                <w:kern w:val="2"/>
                <w:sz w:val="24"/>
                <w:szCs w:val="24"/>
                <w:lang w:val="zh-CN" w:eastAsia="zh-CN" w:bidi="ar-SA"/>
              </w:rPr>
              <w:t>。</w:t>
            </w:r>
          </w:p>
          <w:p>
            <w:pPr>
              <w:pStyle w:val="2"/>
              <w:keepNext w:val="0"/>
              <w:keepLines w:val="0"/>
              <w:pageBreakBefore w:val="0"/>
              <w:widowControl w:val="0"/>
              <w:numPr>
                <w:ilvl w:val="0"/>
                <w:numId w:val="2"/>
              </w:numPr>
              <w:kinsoku/>
              <w:wordWrap/>
              <w:overflowPunct/>
              <w:topLinePunct w:val="0"/>
              <w:autoSpaceDE w:val="0"/>
              <w:autoSpaceDN w:val="0"/>
              <w:bidi w:val="0"/>
              <w:adjustRightInd w:val="0"/>
              <w:snapToGrid/>
              <w:spacing w:line="320" w:lineRule="exact"/>
              <w:textAlignment w:val="auto"/>
              <w:rPr>
                <w:rFonts w:hint="eastAsia"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应按照《职业健康监护管理办法》的要求及时对职业禁忌证者调离禁忌证相关的有毒有害作业岗位，对需专项复查人员及时组织复查，对疑似职业病人积极申请职业病诊断，</w:t>
            </w:r>
            <w:bookmarkStart w:id="0" w:name="_GoBack"/>
            <w:bookmarkEnd w:id="0"/>
            <w:r>
              <w:rPr>
                <w:rFonts w:hint="default" w:ascii="Times New Roman" w:hAnsi="Times New Roman" w:eastAsia="仿宋_GB2312" w:cs="Times New Roman"/>
                <w:kern w:val="2"/>
                <w:sz w:val="24"/>
                <w:szCs w:val="24"/>
                <w:lang w:val="en-US" w:eastAsia="zh-CN" w:bidi="ar-SA"/>
              </w:rPr>
              <w:t>对已确定为职业病的员工，应积极进行治疗并承担相应的费用，不得借故解雇已确诊为职业病的员工</w:t>
            </w:r>
            <w:r>
              <w:rPr>
                <w:rFonts w:hint="eastAsia" w:ascii="Times New Roman" w:hAnsi="Times New Roman" w:eastAsia="仿宋_GB2312" w:cs="Times New Roman"/>
                <w:kern w:val="2"/>
                <w:sz w:val="24"/>
                <w:szCs w:val="24"/>
                <w:lang w:val="en-US" w:eastAsia="zh-CN" w:bidi="ar-SA"/>
              </w:rPr>
              <w:t>。</w:t>
            </w:r>
          </w:p>
          <w:p>
            <w:pPr>
              <w:pStyle w:val="2"/>
              <w:keepNext w:val="0"/>
              <w:keepLines w:val="0"/>
              <w:pageBreakBefore w:val="0"/>
              <w:widowControl w:val="0"/>
              <w:numPr>
                <w:ilvl w:val="0"/>
                <w:numId w:val="2"/>
              </w:numPr>
              <w:kinsoku/>
              <w:wordWrap/>
              <w:overflowPunct/>
              <w:topLinePunct w:val="0"/>
              <w:autoSpaceDE w:val="0"/>
              <w:autoSpaceDN w:val="0"/>
              <w:bidi w:val="0"/>
              <w:adjustRightInd w:val="0"/>
              <w:snapToGrid/>
              <w:spacing w:line="320" w:lineRule="exact"/>
              <w:textAlignment w:val="auto"/>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kern w:val="2"/>
                <w:sz w:val="24"/>
                <w:szCs w:val="24"/>
                <w:lang w:val="en-US" w:eastAsia="zh-CN" w:bidi="ar-SA"/>
              </w:rPr>
              <w:t>在每一年度均须安排应急演练（包括高温中暑等），须包括如中暑后抢救方式、应急处理与汇报事故等，演练的相关资料归类并进行分类存档</w:t>
            </w:r>
            <w:r>
              <w:rPr>
                <w:rFonts w:hint="eastAsia" w:ascii="Times New Roman" w:hAnsi="Times New Roman" w:eastAsia="仿宋_GB2312" w:cs="Times New Roman"/>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rPr>
              <w:t>技术审查专家评审意见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pPr>
              <w:keepNext w:val="0"/>
              <w:keepLines w:val="0"/>
              <w:suppressLineNumbers w:val="0"/>
              <w:spacing w:before="0" w:beforeAutospacing="0" w:after="0" w:afterAutospacing="0"/>
              <w:ind w:right="0" w:firstLine="480" w:firstLineChars="200"/>
              <w:rPr>
                <w:rFonts w:hint="default" w:ascii="Times New Roman" w:hAnsi="Times New Roman" w:eastAsia="仿宋_GB2312" w:cs="Times New Roman"/>
                <w:sz w:val="24"/>
                <w:szCs w:val="24"/>
                <w:lang w:eastAsia="zh-CN"/>
              </w:rPr>
            </w:pPr>
            <w:r>
              <w:rPr>
                <w:rFonts w:hint="eastAsia" w:ascii="仿宋_GB2312" w:hAnsi="Times New Roman" w:eastAsia="仿宋_GB2312"/>
                <w:sz w:val="24"/>
                <w:szCs w:val="24"/>
              </w:rPr>
              <w:t>重庆市化研院安全技术服务有限责任公司编制的《</w:t>
            </w:r>
            <w:r>
              <w:rPr>
                <w:rFonts w:hint="eastAsia" w:ascii="Times New Roman" w:hAnsi="Times New Roman" w:eastAsia="仿宋_GB2312" w:cs="Times New Roman"/>
                <w:sz w:val="24"/>
                <w:szCs w:val="24"/>
                <w:lang w:eastAsia="zh-CN"/>
              </w:rPr>
              <w:t>重庆中冠混凝土工程有限公司</w:t>
            </w:r>
            <w:r>
              <w:rPr>
                <w:rFonts w:hint="eastAsia" w:ascii="Times New Roman" w:hAnsi="Times New Roman" w:eastAsia="仿宋_GB2312" w:cs="Times New Roman"/>
                <w:sz w:val="24"/>
                <w:szCs w:val="24"/>
                <w:lang w:eastAsia="zh-CN"/>
              </w:rPr>
              <w:t>重庆中冠混凝土公司迁建项目</w:t>
            </w:r>
            <w:r>
              <w:rPr>
                <w:rFonts w:hint="default" w:ascii="Times New Roman" w:hAnsi="Times New Roman" w:eastAsia="仿宋_GB2312" w:cs="Times New Roman"/>
                <w:sz w:val="24"/>
                <w:szCs w:val="24"/>
                <w:lang w:eastAsia="zh-CN"/>
              </w:rPr>
              <w:t>职业病危害控制效果评价报告</w:t>
            </w:r>
            <w:r>
              <w:rPr>
                <w:rFonts w:hint="eastAsia" w:ascii="Times New Roman" w:hAnsi="Times New Roman" w:eastAsia="仿宋_GB2312" w:cs="Times New Roman"/>
                <w:sz w:val="24"/>
                <w:szCs w:val="24"/>
                <w:lang w:eastAsia="zh-CN"/>
              </w:rPr>
              <w:t>》（以下简称《评价报告》）于20</w:t>
            </w:r>
            <w:r>
              <w:rPr>
                <w:rFonts w:hint="eastAsia" w:ascii="Times New Roman" w:hAnsi="Times New Roman" w:eastAsia="仿宋_GB2312" w:cs="Times New Roman"/>
                <w:sz w:val="24"/>
                <w:szCs w:val="24"/>
                <w:lang w:val="en-US" w:eastAsia="zh-CN"/>
              </w:rPr>
              <w:t>21</w:t>
            </w:r>
            <w:r>
              <w:rPr>
                <w:rFonts w:hint="eastAsia" w:ascii="Times New Roman" w:hAnsi="Times New Roman" w:eastAsia="仿宋_GB2312" w:cs="Times New Roman"/>
                <w:sz w:val="24"/>
                <w:szCs w:val="24"/>
                <w:lang w:eastAsia="zh-CN"/>
              </w:rPr>
              <w:t>年</w:t>
            </w:r>
            <w:r>
              <w:rPr>
                <w:rFonts w:hint="eastAsia" w:ascii="Times New Roman" w:hAnsi="Times New Roman" w:eastAsia="仿宋_GB2312" w:cs="Times New Roman"/>
                <w:sz w:val="24"/>
                <w:szCs w:val="24"/>
                <w:lang w:val="en-US" w:eastAsia="zh-CN"/>
              </w:rPr>
              <w:t>6</w:t>
            </w:r>
            <w:r>
              <w:rPr>
                <w:rFonts w:hint="eastAsia" w:ascii="Times New Roman" w:hAnsi="Times New Roman" w:eastAsia="仿宋_GB2312" w:cs="Times New Roman"/>
                <w:sz w:val="24"/>
                <w:szCs w:val="24"/>
                <w:lang w:eastAsia="zh-CN"/>
              </w:rPr>
              <w:t>月2</w:t>
            </w:r>
            <w:r>
              <w:rPr>
                <w:rFonts w:hint="eastAsia" w:ascii="Times New Roman" w:hAnsi="Times New Roman" w:eastAsia="仿宋_GB2312" w:cs="Times New Roman"/>
                <w:sz w:val="24"/>
                <w:szCs w:val="24"/>
                <w:lang w:val="en-US" w:eastAsia="zh-CN"/>
              </w:rPr>
              <w:t>4</w:t>
            </w:r>
            <w:r>
              <w:rPr>
                <w:rFonts w:hint="eastAsia" w:ascii="Times New Roman" w:hAnsi="Times New Roman" w:eastAsia="仿宋_GB2312" w:cs="Times New Roman"/>
                <w:sz w:val="24"/>
                <w:szCs w:val="24"/>
                <w:lang w:eastAsia="zh-CN"/>
              </w:rPr>
              <w:t>日接受了专家评审，专家组提出了评审意见。</w:t>
            </w:r>
          </w:p>
          <w:p>
            <w:pPr>
              <w:keepNext w:val="0"/>
              <w:keepLines w:val="0"/>
              <w:suppressLineNumbers w:val="0"/>
              <w:spacing w:before="0" w:beforeAutospacing="0" w:after="0" w:afterAutospacing="0"/>
              <w:ind w:right="0"/>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1、</w:t>
            </w:r>
            <w:r>
              <w:rPr>
                <w:rFonts w:hint="eastAsia" w:ascii="Times New Roman" w:hAnsi="Times New Roman" w:eastAsia="仿宋_GB2312" w:cs="Times New Roman"/>
                <w:sz w:val="24"/>
                <w:szCs w:val="24"/>
                <w:lang w:eastAsia="zh-CN"/>
              </w:rPr>
              <w:t>附表4-14（矽尘总尘）：核对修改表中CPE值。</w:t>
            </w:r>
          </w:p>
          <w:p>
            <w:pPr>
              <w:keepNext w:val="0"/>
              <w:keepLines w:val="0"/>
              <w:suppressLineNumbers w:val="0"/>
              <w:spacing w:before="0" w:beforeAutospacing="0" w:after="0" w:afterAutospacing="0"/>
              <w:ind w:right="0"/>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2、</w:t>
            </w:r>
            <w:r>
              <w:rPr>
                <w:rFonts w:hint="eastAsia" w:ascii="Times New Roman" w:hAnsi="Times New Roman" w:eastAsia="仿宋_GB2312" w:cs="Times New Roman"/>
                <w:sz w:val="24"/>
                <w:szCs w:val="24"/>
                <w:lang w:eastAsia="zh-CN"/>
              </w:rPr>
              <w:t>附件3.4.2.1：请明确搅拌工艺是否设有防尘防噪的控制室，并在附表3-11中进行补充。</w:t>
            </w:r>
          </w:p>
          <w:p>
            <w:pPr>
              <w:keepNext w:val="0"/>
              <w:keepLines w:val="0"/>
              <w:suppressLineNumbers w:val="0"/>
              <w:spacing w:before="0" w:beforeAutospacing="0" w:after="0" w:afterAutospacing="0"/>
              <w:ind w:right="0"/>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3、</w:t>
            </w:r>
            <w:r>
              <w:rPr>
                <w:rFonts w:hint="eastAsia" w:ascii="Times New Roman" w:hAnsi="Times New Roman" w:eastAsia="仿宋_GB2312" w:cs="Times New Roman"/>
                <w:sz w:val="24"/>
                <w:szCs w:val="24"/>
                <w:lang w:eastAsia="zh-CN"/>
              </w:rPr>
              <w:t>附表3-3补充柴油用量，确认卵碎石、砂的主要成分？</w:t>
            </w:r>
          </w:p>
          <w:p>
            <w:pPr>
              <w:keepNext w:val="0"/>
              <w:keepLines w:val="0"/>
              <w:suppressLineNumbers w:val="0"/>
              <w:spacing w:before="0" w:beforeAutospacing="0" w:after="0" w:afterAutospacing="0"/>
              <w:ind w:right="0"/>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4、</w:t>
            </w:r>
            <w:r>
              <w:rPr>
                <w:rFonts w:hint="eastAsia" w:ascii="Times New Roman" w:hAnsi="Times New Roman" w:eastAsia="仿宋_GB2312" w:cs="Times New Roman"/>
                <w:sz w:val="24"/>
                <w:szCs w:val="24"/>
                <w:lang w:eastAsia="zh-CN"/>
              </w:rPr>
              <w:t>附件3.4.1.1补充生化池清淤情况；附表3-19补充发电机房的警示标识设置情况。</w:t>
            </w:r>
          </w:p>
          <w:p>
            <w:pPr>
              <w:keepNext w:val="0"/>
              <w:keepLines w:val="0"/>
              <w:suppressLineNumbers w:val="0"/>
              <w:spacing w:before="0" w:beforeAutospacing="0" w:after="0" w:afterAutospacing="0"/>
              <w:ind w:right="0"/>
              <w:rPr>
                <w:rFonts w:hint="default" w:ascii="Calibri" w:hAnsi="Calibri" w:eastAsia="宋体"/>
                <w:szCs w:val="21"/>
              </w:rPr>
            </w:pPr>
            <w:r>
              <w:rPr>
                <w:rFonts w:hint="eastAsia" w:ascii="Times New Roman" w:hAnsi="Times New Roman" w:eastAsia="仿宋_GB2312" w:cs="Times New Roman"/>
                <w:sz w:val="24"/>
                <w:szCs w:val="24"/>
                <w:lang w:val="en-US" w:eastAsia="zh-CN"/>
              </w:rPr>
              <w:t>5、</w:t>
            </w:r>
            <w:r>
              <w:rPr>
                <w:rFonts w:hint="eastAsia" w:ascii="Times New Roman" w:hAnsi="Times New Roman" w:eastAsia="仿宋_GB2312" w:cs="Times New Roman"/>
                <w:sz w:val="24"/>
                <w:szCs w:val="24"/>
                <w:lang w:eastAsia="zh-CN"/>
              </w:rPr>
              <w:t>参照各位专家提出的具体修改意见对报告进行修改完善。</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65370D"/>
    <w:multiLevelType w:val="multilevel"/>
    <w:tmpl w:val="176537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CD7284B"/>
    <w:multiLevelType w:val="singleLevel"/>
    <w:tmpl w:val="6CD7284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A03BF7"/>
    <w:rsid w:val="000C7361"/>
    <w:rsid w:val="001C18ED"/>
    <w:rsid w:val="00240495"/>
    <w:rsid w:val="0030510A"/>
    <w:rsid w:val="00324C04"/>
    <w:rsid w:val="004E0050"/>
    <w:rsid w:val="004F00DF"/>
    <w:rsid w:val="006E5E9A"/>
    <w:rsid w:val="00712BF0"/>
    <w:rsid w:val="008C634D"/>
    <w:rsid w:val="00933BD5"/>
    <w:rsid w:val="009A38F1"/>
    <w:rsid w:val="00A03BF7"/>
    <w:rsid w:val="00A32419"/>
    <w:rsid w:val="00C33422"/>
    <w:rsid w:val="00CA2A55"/>
    <w:rsid w:val="00F56D77"/>
    <w:rsid w:val="00F8018F"/>
    <w:rsid w:val="1AC93DF3"/>
    <w:rsid w:val="46AC33FD"/>
    <w:rsid w:val="660B52DB"/>
    <w:rsid w:val="7DE025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Normal"/>
    <w:uiPriority w:val="0"/>
    <w:pPr>
      <w:jc w:val="both"/>
    </w:pPr>
    <w:rPr>
      <w:rFonts w:ascii="Calibri" w:hAnsi="Calibri" w:eastAsia="宋体" w:cs="Calibri"/>
      <w:kern w:val="2"/>
      <w:sz w:val="21"/>
      <w:szCs w:val="21"/>
      <w:lang w:val="en-US" w:eastAsia="zh-CN" w:bidi="ar-SA"/>
    </w:rPr>
  </w:style>
  <w:style w:type="paragraph" w:customStyle="1" w:styleId="14">
    <w:name w:val="默认段落字体 Para Char Char Char Char"/>
    <w:basedOn w:val="1"/>
    <w:link w:val="15"/>
    <w:qFormat/>
    <w:uiPriority w:val="0"/>
    <w:rPr>
      <w:rFonts w:ascii="Calibri" w:hAnsi="Calibri" w:eastAsia="宋体" w:cs="Times New Roman"/>
      <w:kern w:val="28"/>
      <w:szCs w:val="21"/>
    </w:rPr>
  </w:style>
  <w:style w:type="character" w:customStyle="1" w:styleId="15">
    <w:name w:val="默认段落字体 Para Char Char Char Char Char"/>
    <w:link w:val="14"/>
    <w:uiPriority w:val="0"/>
    <w:rPr>
      <w:rFonts w:ascii="Calibri" w:hAnsi="Calibri" w:eastAsia="宋体" w:cs="Times New Roman"/>
      <w:kern w:val="28"/>
      <w:szCs w:val="21"/>
    </w:rPr>
  </w:style>
  <w:style w:type="character" w:customStyle="1" w:styleId="16">
    <w:name w:val="默认段落字体 Para Char Char Char Char Char Char"/>
    <w:basedOn w:val="8"/>
    <w:qFormat/>
    <w:uiPriority w:val="0"/>
    <w:rPr>
      <w:kern w:val="28"/>
      <w:sz w:val="21"/>
      <w:szCs w:val="24"/>
    </w:rPr>
  </w:style>
  <w:style w:type="paragraph" w:customStyle="1" w:styleId="17">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customStyle="1" w:styleId="18">
    <w:name w:val="1现评正文"/>
    <w:qFormat/>
    <w:uiPriority w:val="0"/>
    <w:rPr>
      <w:rFonts w:ascii="Times New Roman" w:hAnsi="Times New Roman" w:eastAsia="宋体" w:cs="Times New Roman"/>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217</Words>
  <Characters>1237</Characters>
  <Lines>10</Lines>
  <Paragraphs>2</Paragraphs>
  <TotalTime>1</TotalTime>
  <ScaleCrop>false</ScaleCrop>
  <LinksUpToDate>false</LinksUpToDate>
  <CharactersWithSpaces>1452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2018-04-24T08:24:00Z</dcterms:created>
  <dc:creator>zxd</dc:creator>
  <cp:lastModifiedBy>卡索嘉隆</cp:lastModifiedBy>
  <dcterms:modified xsi:type="dcterms:W3CDTF">2021-09-15T11:25:17Z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7E0CCD2367A64C918C3281FDEE276088</vt:lpwstr>
  </property>
</Properties>
</file>